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26D3">
      <w:pPr>
        <w:spacing w:line="660" w:lineRule="exac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</w:p>
    <w:p w14:paraId="4FB4838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42D348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9DB0A1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18F7D10">
      <w:pPr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庆城县地方志办公室</w:t>
      </w:r>
    </w:p>
    <w:p w14:paraId="1D1A8D5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59F2C6D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5703A3D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B69C60E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4DD2DCF1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439B97A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1BE2962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625AFB32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30EB14E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 w14:paraId="471F7E2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</w:p>
    <w:p w14:paraId="50C7A98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 w14:paraId="5369532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 w14:paraId="55B7D11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 w14:paraId="2A46E2B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 w14:paraId="2E8D070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 w14:paraId="03E9490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 w14:paraId="09CAEE8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 w14:paraId="2EFE15A0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69D17EE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21ABB17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2B20BA9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164B5E1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1D0BF9D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5A7DBFE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5741CF0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1901C01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3EB7C8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BF1E7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3543883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6EEFBAE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0EC893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50E9E1C9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69C3BDA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2D96C99B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620E5B8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甘肃省人民政府办公厅关于进一步推进预算公开工作的实施方案》要求，现将2024年部门预算公开如下：</w:t>
      </w:r>
    </w:p>
    <w:p w14:paraId="3028E5E1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20AD49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1.根据县委每个时期的工作部署，对带有全局性、关键性的重大问题，进行调查研究，拟定工作规划和编纂方案。</w:t>
      </w:r>
    </w:p>
    <w:p w14:paraId="1F037F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2.组织指导督促和检查地方志工作。</w:t>
      </w:r>
    </w:p>
    <w:p w14:paraId="24E08D8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3.组织编纂地方志书、庆城年鉴。</w:t>
      </w:r>
    </w:p>
    <w:p w14:paraId="40CA7D8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4.搜集保存地方文献和资料，组织整理旧志，推动地方志研究。</w:t>
      </w:r>
    </w:p>
    <w:p w14:paraId="1A7E713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5.组织开发利用地方志资源。</w:t>
      </w:r>
    </w:p>
    <w:p w14:paraId="73473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6.承办县委和上级业务部门交办的其它工作任务。</w:t>
      </w:r>
    </w:p>
    <w:p w14:paraId="7535B5B1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F27AC0F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888EB7B">
      <w:pPr>
        <w:spacing w:line="600" w:lineRule="exact"/>
        <w:ind w:firstLine="1600" w:firstLineChars="5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无内设机构。</w:t>
      </w:r>
    </w:p>
    <w:p w14:paraId="572D6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4A161F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960" w:firstLineChars="3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庆城县地方志办公室为正科级全额拨款参照公务员管理事业单位，现有编制7人,其中正式在职干部职工6人。退休3人。</w:t>
      </w:r>
    </w:p>
    <w:p w14:paraId="6281A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1274244B">
      <w:pPr>
        <w:spacing w:line="600" w:lineRule="exact"/>
        <w:ind w:firstLine="960" w:firstLineChars="3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无直属事业单位。</w:t>
      </w:r>
    </w:p>
    <w:p w14:paraId="015D65D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7594F07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110.36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28838EB1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2F5192B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110.36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554A11F4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110.36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3B912F4F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F5DFCD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889DD9F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4C0B71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73DC39F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110.36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103.36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93.66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；项目支出</w:t>
      </w:r>
      <w:r>
        <w:rPr>
          <w:rStyle w:val="21"/>
          <w:rFonts w:hint="eastAsia" w:hAnsi="仿宋" w:eastAsia="仿宋_GB2312"/>
          <w:lang w:val="en-US" w:eastAsia="zh-CN"/>
        </w:rPr>
        <w:t>7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6.34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309BD36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5514FE9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>202</w:t>
      </w:r>
      <w:r>
        <w:rPr>
          <w:rStyle w:val="22"/>
          <w:rFonts w:hint="eastAsia" w:ascii="仿宋_GB2312" w:hAnsi="仿宋" w:eastAsia="仿宋_GB2312"/>
          <w:lang w:val="en-US" w:eastAsia="zh-CN"/>
        </w:rPr>
        <w:t>6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110.36</w:t>
      </w:r>
      <w:r>
        <w:rPr>
          <w:rStyle w:val="21"/>
          <w:rFonts w:hint="default" w:hAnsi="仿宋"/>
        </w:rPr>
        <w:t>万元，包括：一般公共服务支出</w:t>
      </w:r>
      <w:r>
        <w:rPr>
          <w:rStyle w:val="22"/>
          <w:rFonts w:hint="eastAsia" w:ascii="仿宋_GB2312" w:hAnsi="仿宋" w:eastAsia="仿宋_GB2312"/>
          <w:lang w:val="en-US" w:eastAsia="zh-CN"/>
        </w:rPr>
        <w:t>88.27</w:t>
      </w:r>
      <w:r>
        <w:rPr>
          <w:rStyle w:val="21"/>
          <w:rFonts w:hint="default" w:hAnsi="仿宋"/>
        </w:rPr>
        <w:t>万元、公共安全支出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万元、教育支出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万元、科学技术支出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16.89</w:t>
      </w:r>
      <w:r>
        <w:rPr>
          <w:rStyle w:val="21"/>
          <w:rFonts w:hint="default" w:hAnsi="仿宋"/>
        </w:rPr>
        <w:t>万元、卫生健康支出</w:t>
      </w:r>
      <w:r>
        <w:rPr>
          <w:rStyle w:val="21"/>
          <w:rFonts w:hint="eastAsia" w:hAnsi="仿宋" w:eastAsia="仿宋_GB2312"/>
          <w:lang w:val="en-US" w:eastAsia="zh-CN"/>
        </w:rPr>
        <w:t>5.19万元</w:t>
      </w:r>
      <w:r>
        <w:rPr>
          <w:rStyle w:val="21"/>
          <w:rFonts w:hint="default" w:hAnsi="仿宋"/>
        </w:rPr>
        <w:t>、其他支出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667D2BB0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FFCFD8D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103.36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3.9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2026年编纂印刷量减少。</w:t>
      </w:r>
    </w:p>
    <w:p w14:paraId="12A2944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84.29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77681A6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11.97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5C4E06E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7108EC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庆城年鉴编制印刷预算经费没有变化。</w:t>
      </w:r>
    </w:p>
    <w:p w14:paraId="590EE11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无此</w:t>
      </w:r>
      <w:r>
        <w:rPr>
          <w:rFonts w:hint="eastAsia" w:ascii="仿宋_GB2312" w:hAnsi="仿宋" w:eastAsia="仿宋_GB2312"/>
          <w:sz w:val="32"/>
          <w:szCs w:val="32"/>
        </w:rPr>
        <w:t>项目。</w:t>
      </w:r>
    </w:p>
    <w:p w14:paraId="5880AAA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无此</w:t>
      </w:r>
      <w:r>
        <w:rPr>
          <w:rFonts w:hint="eastAsia" w:ascii="仿宋_GB2312" w:hAnsi="仿宋" w:eastAsia="仿宋_GB2312"/>
          <w:sz w:val="32"/>
          <w:szCs w:val="32"/>
        </w:rPr>
        <w:t>项目。</w:t>
      </w:r>
    </w:p>
    <w:p w14:paraId="2731B5D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无此</w:t>
      </w:r>
      <w:r>
        <w:rPr>
          <w:rFonts w:hint="eastAsia" w:ascii="仿宋_GB2312" w:hAnsi="仿宋" w:eastAsia="仿宋_GB2312"/>
          <w:sz w:val="32"/>
          <w:szCs w:val="32"/>
        </w:rPr>
        <w:t>项目。</w:t>
      </w:r>
    </w:p>
    <w:p w14:paraId="05A1C50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48AAB42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</w:rPr>
        <w:t>类）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财政事务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  <w:szCs w:val="32"/>
        </w:rPr>
        <w:t>款）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行政运行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01</w:t>
      </w:r>
      <w:r>
        <w:rPr>
          <w:rFonts w:hint="eastAsia" w:ascii="仿宋_GB2312" w:eastAsia="仿宋_GB2312"/>
          <w:color w:val="000000"/>
          <w:sz w:val="32"/>
          <w:szCs w:val="32"/>
        </w:rPr>
        <w:t>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88.27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较少10.8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2025年编纂《庆城县扶贫志》《庆城县全面小康志》，2026年没有此项业务。</w:t>
      </w:r>
    </w:p>
    <w:p w14:paraId="6CD15DD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5" w:lineRule="atLeast"/>
        <w:ind w:left="0" w:right="0" w:firstLine="646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2.</w:t>
      </w:r>
      <w:bookmarkStart w:id="0" w:name="OLE_LINK3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社会保障和就业支出（208类）行政事业单位养老支出（05款）行政单位离退休（01项）7.09万元，比2025年增加5.81万元，主要原因是工资调整基数上调；社会保障和就业支出（208类）行政事业单位养老支出（05款）机关事业单位基本养老保险缴费支出（05项）9.46万元，比2025年增加0.44万元，主要原因是工资增加，养老保险基数增大；其他社会保障和就业支出（99款）其他社会保障和就业支出（99项）0.33万元,比2025年增加0.02万元，主要原因是根据单位人数其他社会保障和就业支出预算增加。</w:t>
      </w:r>
      <w:bookmarkEnd w:id="0"/>
    </w:p>
    <w:p w14:paraId="509F514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5" w:lineRule="atLeast"/>
        <w:ind w:left="0" w:right="0" w:firstLine="646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3.卫生健康支出（210类）行政事业单位医疗（11款）行政单位医疗（01项）2026年预算数为5.19万元，比2025年预算增加0.31万元，主要原因是工资增加，医疗保险基数变大，医疗保险预算数增大。</w:t>
      </w:r>
    </w:p>
    <w:p w14:paraId="30E83CB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48623BF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F950CF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0.05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EDC3CE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没有因公</w:t>
      </w:r>
      <w:r>
        <w:rPr>
          <w:rFonts w:hint="eastAsia" w:ascii="仿宋_GB2312" w:hAnsi="仿宋" w:eastAsia="仿宋_GB2312"/>
          <w:sz w:val="32"/>
          <w:szCs w:val="32"/>
        </w:rPr>
        <w:t>出国（境）。</w:t>
      </w:r>
    </w:p>
    <w:p w14:paraId="7E4D23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0.05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预算没有变化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37A47A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%，主要原因是公务用车购置及运行维护。</w:t>
      </w:r>
    </w:p>
    <w:p w14:paraId="51E692E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180AC14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0.89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0.04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干部职工培训次数增加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96F12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718A1DF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会议费调剂为办公费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FA4E1C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5F9D25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13.48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办公费增加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91B536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87CAF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万元，政府采购服务预算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万元。</w:t>
      </w:r>
    </w:p>
    <w:p w14:paraId="22BA67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39A874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4774A7B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1.55</w:t>
      </w:r>
      <w:r>
        <w:rPr>
          <w:rFonts w:hint="eastAsia" w:ascii="仿宋_GB2312" w:hAnsi="仿宋" w:eastAsia="仿宋_GB2312"/>
          <w:sz w:val="32"/>
          <w:szCs w:val="32"/>
        </w:rPr>
        <w:t>万元。其中：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设备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家具和用具1.55万元，占100%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>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" w:eastAsia="仿宋_GB2312"/>
          <w:sz w:val="32"/>
          <w:szCs w:val="32"/>
        </w:rPr>
        <w:t>平方米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办公用房在县委县政府楼上，由机关事务局统一管理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48EF26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2731DCA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6204FEF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2DA93E9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58AF904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98DB0A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38F23B5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部门/单位预算安排的经济社会发展类项目公开项目文本信息，包括项目名称、项目概况、立项依据、实施主体、实施周期、实施计划、年度预算安排、预期总体目标等内容。没有经济社会发展类项目支出的部门/单位可公开其他类项目。</w:t>
      </w:r>
    </w:p>
    <w:p w14:paraId="789D92D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《庆城年鉴》编制经费</w:t>
      </w:r>
    </w:p>
    <w:p w14:paraId="47DB38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《庆城年鉴》全面记述庆城县经济、政治、文化、社会、生态的历史，资政育人，启迪后人。该项目资金预算7万元。</w:t>
      </w:r>
    </w:p>
    <w:p w14:paraId="4CAB7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庆城县“九定”方案，省、市上级部门的要求，庆城县地方志办公室年度部门预算情况。</w:t>
      </w:r>
    </w:p>
    <w:p w14:paraId="5CCF363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庆城县地方志办公室</w:t>
      </w:r>
    </w:p>
    <w:p w14:paraId="48A5CF4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年1月-202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</w:p>
    <w:p w14:paraId="0AD2E0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45" w:lineRule="atLeast"/>
        <w:ind w:right="0" w:firstLine="640" w:firstLineChars="200"/>
        <w:jc w:val="left"/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针对202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年政策性配套资金我们根据任务进度制定了绩效考核，由办公室3名编辑分工协作，收集资料、整理编辑，副主任担任执行主编，按照省、市地志办的要求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月底前完成公开出版印刷，公开出版印刷200册，并对庆城年鉴编写满意度调查，满意度达到9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%以上。</w:t>
      </w:r>
    </w:p>
    <w:p w14:paraId="0F97555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安排预算资金7万元。</w:t>
      </w:r>
    </w:p>
    <w:p w14:paraId="6B8FD48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为庆城县经济、文化发展贡献力量，提供良好的文化氛围，建立文化自信，让大家了解过去的历史。</w:t>
      </w:r>
    </w:p>
    <w:p w14:paraId="6E95714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67E77FC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1086CD8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924889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3A2DF7B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20C2D7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6FCD871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0BC3E259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2C8B3A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资金支付进度慢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及时支付资金。</w:t>
      </w:r>
    </w:p>
    <w:p w14:paraId="247A1F27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8B5198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%。同时对政策和项目资金管理作出调整的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C44E09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E61585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760DAC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3C018EE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D9EB2E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32C466D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738DB13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1DEA358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51F850A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622DCDD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25418CB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9759046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3A4DFCC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94990CF">
      <w:pPr>
        <w:adjustRightInd w:val="0"/>
        <w:snapToGrid w:val="0"/>
        <w:spacing w:line="640" w:lineRule="exact"/>
        <w:ind w:right="960"/>
        <w:contextualSpacing/>
        <w:jc w:val="right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庆城县地方志办公室</w:t>
      </w:r>
    </w:p>
    <w:p w14:paraId="016FD36A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3C4AC0C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6DB9608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地志办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1810C694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地志办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095B7C34">
      <w:pPr>
        <w:adjustRightInd w:val="0"/>
        <w:snapToGrid w:val="0"/>
        <w:spacing w:line="640" w:lineRule="exact"/>
        <w:contextualSpacing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附件1</w:t>
      </w:r>
    </w:p>
    <w:p w14:paraId="14579543">
      <w:pPr>
        <w:spacing w:line="3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表一、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收支总体情况表</w:t>
      </w:r>
    </w:p>
    <w:p w14:paraId="00F1BE6D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1729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6D5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79D58F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14:paraId="1EC3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A50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C2B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32E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902FA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2E99D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EFE51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445622C1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54C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02B7A4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DBD1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6EE4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21BFD263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6A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EFE953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8FD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A4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14667261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10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0DC375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3C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D5AA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46DC0F0E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F7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30B997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B0A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C75C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66DA60F8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31D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5F8719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E6F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55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0FB9ABF3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95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C3D861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B372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A9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63254DC1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7E9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28A20D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AD6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63DA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6746B21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CD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6F6BCE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23FE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4FED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5C221808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E4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0258B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EA60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20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F5F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90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7BC4EB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F1ED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54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5D3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7E8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F36DB1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A370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4923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FD1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3C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CE6E86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0400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4703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A35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53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0A28DC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7C82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99CE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F31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A3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BFFABF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ED98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6B67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229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02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493925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348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46CB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06D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7D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42F57D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578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4CF5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878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5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889426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DB50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A7F9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545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09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9B59BE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388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3256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56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A1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CD66C4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76F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3235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5A6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87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A54D1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C7D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810B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7AF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88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5246EA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19FA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33C5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AB7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707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84F091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D27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5A57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D7C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69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43F468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1B2E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0878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975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4B3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6A496C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50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3921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82F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F5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E0D8AA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29F8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82C4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22D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066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1B0D88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3CA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EA6B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FA4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554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C2571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F0AD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EB1E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3CC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CD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92D5B9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6EE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CEF6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B25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DB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875934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36E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D9295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B7B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9B0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3CBEFD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DDAB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35B9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064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A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2E47BA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951F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14AAE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vAlign w:val="center"/>
          </w:tcPr>
          <w:p w14:paraId="61AA735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20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AC0DAA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0B9B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20AB0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00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0C8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C70AA9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5B6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F970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8A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50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3691139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B06A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7755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32F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1D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2ACDD1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FE9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2778B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2C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12E4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A22998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5CC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F666B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vAlign w:val="center"/>
          </w:tcPr>
          <w:p w14:paraId="5499766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0C812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6D75B32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38F18CBC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B06091F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表二、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收入总体情况表</w:t>
      </w:r>
    </w:p>
    <w:p w14:paraId="28361013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5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74193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862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E9B65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2BBDD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795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BC85A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D172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90FF4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A4B009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8C8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F9B5DE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D13031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033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7EE97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02BB16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2BF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0CE5E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E463B2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23F1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3813A1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D08996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56E2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5575B9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14875B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67A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078AB7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A713B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F6C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674BB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AD8967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9AC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63064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79E84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CA31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02BDB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F1DAD1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F6C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6E249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C9CC1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865B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C7656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D5E3C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A6EF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90A5F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4BE2A1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299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6D7F06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8EB12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AB6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7F493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17CB5E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41E5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0AB2A0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2EF4F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8338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F51E6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C5F69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D940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C16571D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9F8599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5A0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D0483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7725A8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D46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1265B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45D616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578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EAF264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EDE8C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9C60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7A9AF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87233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A45F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A66FBE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9F16C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B0AF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F193CB1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CFCBA9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98CB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1F7A31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32CA0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BA8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5DA03D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CCFB8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6FBE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7A165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DA0175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A39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37CDF5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4FDEC5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6AB3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66529FE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8E1904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78820042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备注：无内容应公开空表并说明情况。</w:t>
      </w:r>
    </w:p>
    <w:p w14:paraId="7E0F8DEB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6114702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7A9C4372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表三、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支出总体情况表</w:t>
      </w:r>
    </w:p>
    <w:p w14:paraId="08EA45F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 w14:paraId="57E9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25F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8E0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083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EFEE8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CC30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14:paraId="626F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EF3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CE2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502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01C7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30B74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660A2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C71B0D2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CE143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0FFDB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8B4256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767B29F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5C5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CDF7143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……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11043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654C5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F1D40D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4338B4E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24A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83D9208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0D581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46947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908C1E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6944377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650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5C891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D8EF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B7788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9770E7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6E0EC9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589F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6AB1873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91775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0E868F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C1FAC2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366601F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18D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98E71E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45B8E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BBAE1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B867FC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7E28CC5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D135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58A65E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BD5F6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47950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A6E923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410A5F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3AC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C5083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CFA1D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531B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E34FBD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5EF7C99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27A7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ED80B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958B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4484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CF9135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1034275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45D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3B902A2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4E0D4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B8BA8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D3E7A1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32DEE94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5E7BD79A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5A612BAB">
      <w:pPr>
        <w:rPr>
          <w:rFonts w:ascii="仿宋_GB2312" w:hAnsi="微软雅黑" w:eastAsia="仿宋_GB2312"/>
          <w:sz w:val="18"/>
          <w:szCs w:val="18"/>
        </w:rPr>
      </w:pPr>
    </w:p>
    <w:p w14:paraId="5E415FA6">
      <w:pPr>
        <w:rPr>
          <w:rFonts w:ascii="仿宋_GB2312" w:hAnsi="微软雅黑" w:eastAsia="仿宋_GB2312"/>
          <w:sz w:val="18"/>
          <w:szCs w:val="18"/>
        </w:rPr>
      </w:pPr>
    </w:p>
    <w:p w14:paraId="59A57BC2">
      <w:pPr>
        <w:rPr>
          <w:rFonts w:ascii="仿宋_GB2312" w:hAnsi="微软雅黑" w:eastAsia="仿宋_GB2312"/>
          <w:sz w:val="18"/>
          <w:szCs w:val="18"/>
        </w:rPr>
      </w:pPr>
    </w:p>
    <w:p w14:paraId="6818472B">
      <w:pPr>
        <w:rPr>
          <w:rFonts w:ascii="仿宋_GB2312" w:hAnsi="微软雅黑" w:eastAsia="仿宋_GB2312"/>
          <w:sz w:val="18"/>
          <w:szCs w:val="18"/>
        </w:rPr>
      </w:pPr>
    </w:p>
    <w:p w14:paraId="1E6CE32D">
      <w:pPr>
        <w:rPr>
          <w:rFonts w:ascii="仿宋_GB2312" w:hAnsi="微软雅黑" w:eastAsia="仿宋_GB2312"/>
          <w:sz w:val="18"/>
          <w:szCs w:val="18"/>
        </w:rPr>
      </w:pPr>
    </w:p>
    <w:p w14:paraId="1F64EFA2">
      <w:pPr>
        <w:rPr>
          <w:rFonts w:ascii="仿宋_GB2312" w:hAnsi="微软雅黑" w:eastAsia="仿宋_GB2312"/>
          <w:sz w:val="18"/>
          <w:szCs w:val="18"/>
        </w:rPr>
      </w:pPr>
    </w:p>
    <w:p w14:paraId="3F5F9FD9">
      <w:pPr>
        <w:rPr>
          <w:rFonts w:ascii="仿宋_GB2312" w:hAnsi="微软雅黑" w:eastAsia="仿宋_GB2312"/>
          <w:sz w:val="18"/>
          <w:szCs w:val="18"/>
        </w:rPr>
      </w:pPr>
    </w:p>
    <w:p w14:paraId="249C25ED">
      <w:pPr>
        <w:rPr>
          <w:rFonts w:ascii="仿宋_GB2312" w:hAnsi="微软雅黑" w:eastAsia="仿宋_GB2312"/>
          <w:sz w:val="18"/>
          <w:szCs w:val="18"/>
        </w:rPr>
      </w:pPr>
    </w:p>
    <w:p w14:paraId="6F48262C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E1C12D6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8CFAB69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表四、财政拨款收支总体情况表</w:t>
      </w:r>
    </w:p>
    <w:p w14:paraId="6D7BB4DA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7A17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A9A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0D22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14:paraId="57554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A7A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7F7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3A1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8DCE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043C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CF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5F9DE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65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F1DF20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F17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22E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BAF23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BE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6763FE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7323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28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9646C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2B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F59D3E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4EF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69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6721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1E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5497A2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59C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7D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7D8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7B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5D8E28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B72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01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EDFA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1D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F18473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3C6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1C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769D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4FC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83F92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DFA9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5E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E8F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1C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92D6B1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E80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E69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1FB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E2D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501A62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0B3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2F7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C18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AF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405DC7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B27D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CCF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970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DF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97A730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B454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276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A62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84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3DC2A6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3762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39F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E77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1B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7F29DE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CEF2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BD5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75A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8F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85ED8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F62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99E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C88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12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8359F8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09B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23D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2EC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AF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6577E9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830D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F7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FDB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174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E9C82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75C0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926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150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08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791AE8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6C3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9D3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6DA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71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A18401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30C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931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FD3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9FA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539103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CC9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04C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0FE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4C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993A11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E28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284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3D3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4A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DB9548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DE6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FC7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1EC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E6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8D5112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4F2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D2C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52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460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B6D147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633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DB3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5C6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4C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834775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41E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07A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ADA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D6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1033F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52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507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790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75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AEC87E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D39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423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F83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14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F9E85A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942F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47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A49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86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218B5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7829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F67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778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35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775C1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6A2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352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F49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2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A1554A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41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D0067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9D38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948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355AA9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6772BD65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43474A7F">
      <w:pPr>
        <w:rPr>
          <w:rFonts w:ascii="仿宋_GB2312" w:hAnsi="微软雅黑" w:eastAsia="仿宋_GB2312"/>
          <w:sz w:val="18"/>
          <w:szCs w:val="18"/>
        </w:rPr>
      </w:pPr>
    </w:p>
    <w:p w14:paraId="2E750F1D">
      <w:pPr>
        <w:rPr>
          <w:rFonts w:ascii="仿宋_GB2312" w:hAnsi="微软雅黑" w:eastAsia="仿宋_GB2312"/>
          <w:sz w:val="18"/>
          <w:szCs w:val="18"/>
        </w:rPr>
      </w:pPr>
    </w:p>
    <w:p w14:paraId="0EE18D47">
      <w:pPr>
        <w:rPr>
          <w:rFonts w:ascii="仿宋_GB2312" w:hAnsi="微软雅黑" w:eastAsia="仿宋_GB2312"/>
          <w:sz w:val="18"/>
          <w:szCs w:val="18"/>
        </w:rPr>
      </w:pPr>
    </w:p>
    <w:p w14:paraId="4D63CEC0">
      <w:pPr>
        <w:rPr>
          <w:rFonts w:ascii="仿宋_GB2312" w:hAnsi="微软雅黑" w:eastAsia="仿宋_GB2312"/>
          <w:sz w:val="18"/>
          <w:szCs w:val="18"/>
        </w:rPr>
      </w:pPr>
    </w:p>
    <w:p w14:paraId="0E0FA116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</w:pPr>
    </w:p>
    <w:p w14:paraId="2028E8A6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A6B6B86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表五、财政拨款支出表</w:t>
      </w:r>
    </w:p>
    <w:p w14:paraId="7D518036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0EA5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707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514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B3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C81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 w14:paraId="19B59C4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76A7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D2340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E7F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3EA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BE6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707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F74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8E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ACD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12E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B90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0BAED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3CB9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326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0B2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7ED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C27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4D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53E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D9E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031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3A7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3B2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696567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 w14:paraId="35B4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7271BD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D081D1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F1429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18A187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4E5533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4D2F4C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A1D200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AB4EF9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8EC9F2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D5013E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88ECBD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FAD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69AACC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8C91DF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415212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8592ED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43838D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87B08B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54FB9C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12223E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E0D1BB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556A15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E65303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3F8E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7A22764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12B84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9D0251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89B1C3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42AB6F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C38D05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8CFDC0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A9B62E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FCA176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0D1B51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E7B304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475A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066C4FA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8D5314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A02966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DB305E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4345CA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3F2C4C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AB1F0A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CF3ADD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811EA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DBB5AC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51562D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15B1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6FD76A6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EB4307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43CEB2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BC7DF3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003039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9CB9C3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45F06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E40AFE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0F023D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6DF782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5B212E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8823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58C4AF5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3A149D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2DD65A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5EED6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B8F7FB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FA541F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00F0A1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847C41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2C9F3F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294FA4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043BDE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6AA6D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01BD19A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EDCD15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2E5C05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B985F7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84B52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03CE73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D4B3BB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E6E6C6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1E1852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BF9996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50BB8E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35878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0A5E658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74BA93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E9E573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541526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FB6B6A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D7261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AD5A38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12F677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56DE8B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6D40D7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042826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D1D3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7E6747F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9FE4FA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997963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68F9E6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2BA69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9B62E2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9AA5BD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8ECA3E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BE807F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754BF5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7B6B5C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433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</w:tcPr>
          <w:p w14:paraId="4B34088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A598C1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01C496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104D7BB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B431DC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FCC1D1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D1F1AD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6F7F65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59EB79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324F0C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EC90430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2BC8A005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1E973CDF">
      <w:pPr>
        <w:rPr>
          <w:rFonts w:ascii="仿宋_GB2312" w:hAnsi="微软雅黑" w:eastAsia="仿宋_GB2312"/>
          <w:sz w:val="18"/>
          <w:szCs w:val="18"/>
        </w:rPr>
      </w:pPr>
    </w:p>
    <w:p w14:paraId="20CF2F26">
      <w:pPr>
        <w:rPr>
          <w:rFonts w:ascii="仿宋_GB2312" w:hAnsi="微软雅黑" w:eastAsia="仿宋_GB2312"/>
          <w:sz w:val="18"/>
          <w:szCs w:val="18"/>
        </w:rPr>
      </w:pPr>
    </w:p>
    <w:p w14:paraId="000FF654">
      <w:pPr>
        <w:rPr>
          <w:rFonts w:ascii="仿宋_GB2312" w:hAnsi="微软雅黑" w:eastAsia="仿宋_GB2312"/>
          <w:sz w:val="18"/>
          <w:szCs w:val="18"/>
        </w:rPr>
      </w:pPr>
    </w:p>
    <w:p w14:paraId="63EB477C">
      <w:pPr>
        <w:rPr>
          <w:rFonts w:ascii="仿宋_GB2312" w:hAnsi="微软雅黑" w:eastAsia="仿宋_GB2312"/>
          <w:sz w:val="18"/>
          <w:szCs w:val="18"/>
        </w:rPr>
      </w:pPr>
    </w:p>
    <w:p w14:paraId="5710CC00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EC3A0F1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EB8A6EA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表六、一般公共预算支出情况表</w:t>
      </w:r>
    </w:p>
    <w:p w14:paraId="5DE39DAA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 w14:paraId="0F75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CC7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 w14:paraId="0242500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 w14:paraId="364D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38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337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3D9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0B6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71E8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6E7C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8B9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203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F65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0EF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7CF0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2F019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2E4914B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5E419A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59830C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7F1076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C8D6AF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6F0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DBB3382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5EE41F8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74B7EBF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D4489E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791CBA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22F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FDDA490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0DBD8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C1C225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5E30C9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461C16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078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F74CB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BF1C9A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8353A6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909A2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0EE7EF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EC2A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7590FF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E58143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04108E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75B5B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A14DA3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CE37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7044D0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A78E4B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2C219C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72AD22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2EA14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E49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D9D354B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BF2CE1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49C4CE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419CFA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DB9E97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DD3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99A93A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7F91E5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B3F67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E218F9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84C63C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018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00F3090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1BED01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D6483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4C4CA3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489B37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A29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1F13133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1717642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9E368D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70921F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DB13EF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D77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68049B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B1B042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C0FB65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217B43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3DD82AD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64B8ED74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06ED8F30">
      <w:pPr>
        <w:rPr>
          <w:rFonts w:ascii="仿宋_GB2312" w:hAnsi="微软雅黑" w:eastAsia="仿宋_GB2312"/>
          <w:sz w:val="18"/>
          <w:szCs w:val="18"/>
        </w:rPr>
      </w:pPr>
    </w:p>
    <w:p w14:paraId="5AD3BB90">
      <w:pPr>
        <w:rPr>
          <w:rFonts w:ascii="仿宋_GB2312" w:hAnsi="微软雅黑" w:eastAsia="仿宋_GB2312"/>
          <w:sz w:val="18"/>
          <w:szCs w:val="18"/>
        </w:rPr>
      </w:pPr>
    </w:p>
    <w:p w14:paraId="5CACD73D">
      <w:pPr>
        <w:rPr>
          <w:rFonts w:ascii="仿宋_GB2312" w:hAnsi="微软雅黑" w:eastAsia="仿宋_GB2312"/>
          <w:sz w:val="18"/>
          <w:szCs w:val="18"/>
        </w:rPr>
      </w:pPr>
    </w:p>
    <w:p w14:paraId="252BD347">
      <w:pPr>
        <w:rPr>
          <w:rFonts w:ascii="仿宋_GB2312" w:hAnsi="微软雅黑" w:eastAsia="仿宋_GB2312"/>
          <w:sz w:val="18"/>
          <w:szCs w:val="18"/>
        </w:rPr>
      </w:pPr>
    </w:p>
    <w:p w14:paraId="326C9390">
      <w:pPr>
        <w:rPr>
          <w:rFonts w:ascii="仿宋_GB2312" w:hAnsi="微软雅黑" w:eastAsia="仿宋_GB2312"/>
          <w:sz w:val="18"/>
          <w:szCs w:val="18"/>
        </w:rPr>
      </w:pPr>
    </w:p>
    <w:p w14:paraId="5B10A53C">
      <w:pPr>
        <w:rPr>
          <w:rFonts w:ascii="仿宋_GB2312" w:hAnsi="微软雅黑" w:eastAsia="仿宋_GB2312"/>
          <w:sz w:val="18"/>
          <w:szCs w:val="18"/>
        </w:rPr>
      </w:pPr>
    </w:p>
    <w:p w14:paraId="3A54B742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6317C40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82346EC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表七、一般公共预算基本支出情况表</w:t>
      </w:r>
    </w:p>
    <w:p w14:paraId="57667141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4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 w14:paraId="3E42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75F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 w14:paraId="7348D71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 w14:paraId="2E5A2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968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B6F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C20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040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DBD9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14:paraId="66480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083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65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AA3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2D3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EB876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3CF2C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0FC379E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7411FB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4FB610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ED6ACA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195CC2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001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F998742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……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64B97A1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……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8CEEBA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BAEE5E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4B6031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0022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4F15B4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1C6523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87AD1A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667CB9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C2A141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8500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944A7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8103A5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07CB63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9791DB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CD4D1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E5D1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BEC8E8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F72391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1CD0AA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12C2B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4E94D94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DE21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295792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8A1441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807EBD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E73D3D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4D051CD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0D28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67AFE5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B3CC7D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27A9F2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9A672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74D7D9E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7ACA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CD05E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7936B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D8C474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374EC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AB516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35D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148318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46DB6D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EE9D03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2C06C1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74EABF3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8346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8C699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C2A493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7F4220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0DC53B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10C5B9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104DFB43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21A93E9">
      <w:pPr>
        <w:rPr>
          <w:rFonts w:ascii="仿宋_GB2312" w:hAnsi="微软雅黑" w:eastAsia="仿宋_GB2312"/>
          <w:sz w:val="18"/>
          <w:szCs w:val="18"/>
        </w:rPr>
      </w:pPr>
    </w:p>
    <w:p w14:paraId="3EA6D3FE">
      <w:pPr>
        <w:rPr>
          <w:rFonts w:ascii="仿宋_GB2312" w:hAnsi="微软雅黑" w:eastAsia="仿宋_GB2312"/>
          <w:sz w:val="18"/>
          <w:szCs w:val="18"/>
        </w:rPr>
      </w:pPr>
    </w:p>
    <w:p w14:paraId="7425476C">
      <w:pPr>
        <w:rPr>
          <w:rFonts w:ascii="仿宋_GB2312" w:hAnsi="微软雅黑" w:eastAsia="仿宋_GB2312"/>
          <w:sz w:val="18"/>
          <w:szCs w:val="18"/>
        </w:rPr>
      </w:pPr>
    </w:p>
    <w:p w14:paraId="47FA8180">
      <w:pPr>
        <w:rPr>
          <w:rFonts w:ascii="仿宋_GB2312" w:hAnsi="微软雅黑" w:eastAsia="仿宋_GB2312"/>
          <w:sz w:val="18"/>
          <w:szCs w:val="18"/>
        </w:rPr>
      </w:pPr>
    </w:p>
    <w:p w14:paraId="162874E9">
      <w:pPr>
        <w:rPr>
          <w:rFonts w:ascii="仿宋_GB2312" w:hAnsi="微软雅黑" w:eastAsia="仿宋_GB2312"/>
          <w:sz w:val="18"/>
          <w:szCs w:val="18"/>
        </w:rPr>
      </w:pPr>
    </w:p>
    <w:p w14:paraId="1F801DA0">
      <w:pPr>
        <w:rPr>
          <w:rFonts w:ascii="仿宋_GB2312" w:hAnsi="微软雅黑" w:eastAsia="仿宋_GB2312"/>
          <w:sz w:val="18"/>
          <w:szCs w:val="18"/>
        </w:rPr>
      </w:pPr>
    </w:p>
    <w:p w14:paraId="48E3D41B">
      <w:pPr>
        <w:rPr>
          <w:rFonts w:ascii="仿宋_GB2312" w:hAnsi="微软雅黑" w:eastAsia="仿宋_GB2312"/>
          <w:sz w:val="18"/>
          <w:szCs w:val="18"/>
        </w:rPr>
      </w:pPr>
    </w:p>
    <w:p w14:paraId="3EF34D1D">
      <w:pPr>
        <w:rPr>
          <w:rFonts w:ascii="仿宋_GB2312" w:hAnsi="微软雅黑" w:eastAsia="仿宋_GB2312"/>
          <w:sz w:val="18"/>
          <w:szCs w:val="18"/>
        </w:rPr>
      </w:pPr>
    </w:p>
    <w:p w14:paraId="171A8F3B">
      <w:pPr>
        <w:tabs>
          <w:tab w:val="left" w:pos="1512"/>
        </w:tabs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ab/>
      </w:r>
    </w:p>
    <w:p w14:paraId="214E3681">
      <w:pPr>
        <w:tabs>
          <w:tab w:val="left" w:pos="151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02A4D93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表八、一般公共预算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财政拨款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“三公”经费、会议费、培训费支出情况表</w:t>
      </w:r>
    </w:p>
    <w:p w14:paraId="68A161F0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14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0FE3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CDD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C01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7B1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0CF0A1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14:paraId="533A8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2B75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CBD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989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0C6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3BE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EC3DB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0A1F3C3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849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DC70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A5A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06F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96B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133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C07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C05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2D202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1C0D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4E16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41E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05F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601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99D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2D0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269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7BAB94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7094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C01DB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AF749C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B28DDD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CC904C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FF9E9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81AD10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8CC9DA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DFF853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1AD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B6DFE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……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B4143D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510C4D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0689D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53FE78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73B4E7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D0A67F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C8DF82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CD8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CA3F8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F13E0E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CF2B5A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D42D8B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960E6A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2693F2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F9057A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5D441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EAA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423BC4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B304A8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BEC87A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4E3C7B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1F7C9D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A00711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C741C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8D802D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DDFC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17CD5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8C17C4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D12DB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400F45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80244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207BEF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2FCDA3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16584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91ED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465045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1F4C93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5A58AC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03A00C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FACF9A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1BCEF3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2D95C1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B57654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8B42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DFADB3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0257FB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68FBA3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7BF833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0832ED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A861B3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8AC76C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190CC6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1B8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4A9BAB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C97424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866E8E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C791D6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D56C9C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9B787B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5BEB29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DEBA9A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7C8B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D94D5B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B9623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5BD204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FDFDC9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6005F0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D51002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1ACEC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0B07E9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4CE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1D5EA45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C5FA0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11BBD9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7B64C41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3F1779F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783E80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33EF42B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71E4A04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F95A196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F1F0409">
      <w:pPr>
        <w:rPr>
          <w:rFonts w:ascii="仿宋_GB2312" w:hAnsi="微软雅黑" w:eastAsia="仿宋_GB2312"/>
          <w:sz w:val="18"/>
          <w:szCs w:val="18"/>
        </w:rPr>
      </w:pPr>
    </w:p>
    <w:p w14:paraId="4CE9BA23">
      <w:pPr>
        <w:rPr>
          <w:rFonts w:ascii="仿宋_GB2312" w:hAnsi="微软雅黑" w:eastAsia="仿宋_GB2312"/>
          <w:sz w:val="18"/>
          <w:szCs w:val="18"/>
        </w:rPr>
      </w:pPr>
    </w:p>
    <w:p w14:paraId="3E28B07C">
      <w:pPr>
        <w:rPr>
          <w:rFonts w:ascii="仿宋_GB2312" w:hAnsi="微软雅黑" w:eastAsia="仿宋_GB2312"/>
          <w:sz w:val="18"/>
          <w:szCs w:val="18"/>
        </w:rPr>
      </w:pPr>
    </w:p>
    <w:p w14:paraId="32845544">
      <w:pPr>
        <w:rPr>
          <w:rFonts w:ascii="仿宋_GB2312" w:hAnsi="微软雅黑" w:eastAsia="仿宋_GB2312"/>
          <w:sz w:val="18"/>
          <w:szCs w:val="18"/>
        </w:rPr>
      </w:pPr>
    </w:p>
    <w:p w14:paraId="3BD10DEA">
      <w:pPr>
        <w:rPr>
          <w:rFonts w:ascii="仿宋_GB2312" w:hAnsi="微软雅黑" w:eastAsia="仿宋_GB2312"/>
          <w:sz w:val="18"/>
          <w:szCs w:val="18"/>
        </w:rPr>
      </w:pPr>
    </w:p>
    <w:p w14:paraId="62A8A5F5">
      <w:pPr>
        <w:rPr>
          <w:rFonts w:ascii="仿宋_GB2312" w:hAnsi="微软雅黑" w:eastAsia="仿宋_GB2312"/>
          <w:sz w:val="18"/>
          <w:szCs w:val="18"/>
        </w:rPr>
      </w:pPr>
    </w:p>
    <w:p w14:paraId="4001E81E">
      <w:pPr>
        <w:rPr>
          <w:rFonts w:ascii="仿宋_GB2312" w:hAnsi="微软雅黑" w:eastAsia="仿宋_GB2312"/>
          <w:sz w:val="18"/>
          <w:szCs w:val="18"/>
        </w:rPr>
      </w:pPr>
    </w:p>
    <w:p w14:paraId="6A8494B5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75A604B5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51AF4F0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表九、一般公共预算财政拨款机关运行经费表</w:t>
      </w:r>
    </w:p>
    <w:p w14:paraId="7DDA6DE0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41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5EAB8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C59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11B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E48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FD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45008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34B5E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A2E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A17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E52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B28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C03A5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5FF83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5155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CA453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B2471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6B71B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0A2F79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D73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9CC43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35CFB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0B2A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898C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67C1EE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A0B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B491B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5F84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D93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2C8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E4B79F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E1D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FA13A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BC84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6A3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160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0B048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65A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848C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8A303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FE23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84C12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0049FB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AD3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AD004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3C32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7579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88F73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A6B792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26C6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73B37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331A0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FFA8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5C7B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29C2883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4A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FEC33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28E2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F7B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EF2D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1DEBDB2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93F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CB63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AB50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2F3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2462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D0881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6E0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024E4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0C4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A07A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FB57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B8D27B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C82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8BA87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F5A8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49D2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07C43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D09BD4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462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6E886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83F74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16C6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232E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EA9DB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D98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0F553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D8899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52D1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C23B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56EC3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178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199D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A65F4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8977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6298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5C39B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E1C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B69F1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34EE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BB15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DB13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C3DC32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D55C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2F8E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76BD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3A0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DB8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15E8B3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65A16FA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73119465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表十、政府性基金预算支出情况表</w:t>
      </w:r>
    </w:p>
    <w:p w14:paraId="4AB1BBBA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4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1F20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ED44B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0688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2C0DD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39EF4C8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AC300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F3CF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C152EB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D3837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B86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A50B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D40EB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4225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EF39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B2E71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D55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A03F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78F99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497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8432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FE836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F984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B489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120BE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8A33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BFD6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42BE1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B52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D7B8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882E4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AE35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E0D17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43376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6E7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C29E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DDAEF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E07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3240D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65C37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C6D65DD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683A2C09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表十一、部门管理转移支付表</w:t>
      </w:r>
    </w:p>
    <w:p w14:paraId="335450C4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52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7CAE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E7E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850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883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738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3355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112CD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CE2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989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C16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69E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492EF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0055B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0E1D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C77D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07C0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961B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304DA75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EF56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CE9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442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644A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055D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73738AB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B00C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D8B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4E8C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4488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05F6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053E9DF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6A4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240BCD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11BF0E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F5A40A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BF0DE1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vAlign w:val="center"/>
          </w:tcPr>
          <w:p w14:paraId="0220CAE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8716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88724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B78060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1DC381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05D4BF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vAlign w:val="center"/>
          </w:tcPr>
          <w:p w14:paraId="7A82D0D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D054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24995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7C223F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1291C4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8369F5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vAlign w:val="center"/>
          </w:tcPr>
          <w:p w14:paraId="26717CC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6BE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AAE01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29D89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1F7848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CECD50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vAlign w:val="center"/>
          </w:tcPr>
          <w:p w14:paraId="2B1162C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C5F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FDE95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E7918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6EB0B9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459C7D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vAlign w:val="center"/>
          </w:tcPr>
          <w:p w14:paraId="09D36D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66B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85EA8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8448C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2A18C8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74A3A9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vAlign w:val="center"/>
          </w:tcPr>
          <w:p w14:paraId="3A331B5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F694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53B76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C2085D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1B7AC8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3F46A5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60E70F6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6696DCC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3B7735A3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表十二、国有资本经营预算支出情况表</w:t>
      </w:r>
    </w:p>
    <w:p w14:paraId="1BF1270E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4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7E2C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C554B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26C21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498E1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3802F8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020614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5EF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C9EDBB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092A26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EC8C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3A0D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58E07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931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8BB9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802C8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109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F279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72BA3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DB4C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D6E6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DD694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89D4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CBC0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084F8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94D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034C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4E75C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8A0A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8305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3D692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068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8765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E3841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547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B68B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4BA36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9894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FB6C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179AD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D611977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8B066FD">
      <w:pPr>
        <w:spacing w:line="36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 w14:paraId="577D5E4D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部门/单位整体支出绩效目标表</w:t>
      </w:r>
    </w:p>
    <w:p w14:paraId="05C3DD0F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年度）</w:t>
      </w:r>
    </w:p>
    <w:tbl>
      <w:tblPr>
        <w:tblStyle w:val="9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1537"/>
        <w:gridCol w:w="1738"/>
        <w:gridCol w:w="1538"/>
      </w:tblGrid>
      <w:tr w14:paraId="3E3C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368BBB4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D0AF2FE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2E613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478D55BF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A565B30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</w:t>
            </w:r>
          </w:p>
          <w:p w14:paraId="41567DAC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</w:t>
            </w:r>
          </w:p>
          <w:p w14:paraId="50A7A504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目标3：</w:t>
            </w:r>
          </w:p>
        </w:tc>
      </w:tr>
      <w:tr w14:paraId="3C45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0447A551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23B3D6C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0C82D83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38E090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68CD5B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 w14:paraId="14D66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75788EC5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5C6810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AB85FF2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CD0471F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7E53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0D1F2F2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B820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470853D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40110FB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B8C4AC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4CA32D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A2845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92E5C1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0355B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00BF944A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0EDBA5D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781BD72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78905FD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00ADBC2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A0B4D1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69AD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775B336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3CCB374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22CCD6E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AB5D1D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4820EE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094E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0F92DF2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3D69646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48327D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9041C5B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B0EC5FA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4494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 w14:paraId="37818C02">
            <w:pPr>
              <w:ind w:left="113" w:right="113"/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1AF42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04F2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9F843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89DD0F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14:paraId="26B2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EF5EEE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6E501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A8EF5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8B66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308368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</w:tr>
      <w:tr w14:paraId="65E15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2CF7767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66D59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022C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F7884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FD143C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</w:tr>
      <w:tr w14:paraId="63C81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3FE2B0D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B7B4E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0D4EB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D3CA9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2EEFD0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</w:tr>
      <w:tr w14:paraId="3D76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3DBBD58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D198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DEF40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CE83D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A94C56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</w:tr>
      <w:tr w14:paraId="1CC17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7BA958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9104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1F70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258E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5D63B8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</w:tr>
      <w:tr w14:paraId="3A97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4F513C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2AA9F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49E6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A4843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905706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</w:tr>
      <w:tr w14:paraId="637E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238783A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612A19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162FE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E636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B8F3A26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</w:tr>
      <w:tr w14:paraId="507B6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1F8360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094890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F631D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B2867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831C77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</w:tr>
      <w:tr w14:paraId="31856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9031C6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3E1990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AD343C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FBF3DE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228948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</w:tr>
    </w:tbl>
    <w:p w14:paraId="2D3EA8C1"/>
    <w:p w14:paraId="3026692C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项目支出绩效目标表</w:t>
      </w:r>
    </w:p>
    <w:p w14:paraId="3A97E3C4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年度）</w:t>
      </w:r>
    </w:p>
    <w:tbl>
      <w:tblPr>
        <w:tblStyle w:val="9"/>
        <w:tblW w:w="1042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 w14:paraId="507130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6" w:type="dxa"/>
            <w:gridSpan w:val="2"/>
            <w:vAlign w:val="center"/>
          </w:tcPr>
          <w:p w14:paraId="36F5535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222" w:type="dxa"/>
            <w:gridSpan w:val="6"/>
            <w:vAlign w:val="center"/>
          </w:tcPr>
          <w:p w14:paraId="09375C0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25DF2A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6" w:type="dxa"/>
            <w:gridSpan w:val="2"/>
            <w:vAlign w:val="center"/>
          </w:tcPr>
          <w:p w14:paraId="1290F2F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主管部门及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3434" w:type="dxa"/>
            <w:gridSpan w:val="3"/>
            <w:vAlign w:val="center"/>
          </w:tcPr>
          <w:p w14:paraId="2E74827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287C863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17" w:type="dxa"/>
            <w:vAlign w:val="center"/>
          </w:tcPr>
          <w:p w14:paraId="759ECFE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7A685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6" w:type="dxa"/>
            <w:gridSpan w:val="2"/>
            <w:vMerge w:val="restart"/>
            <w:vAlign w:val="center"/>
          </w:tcPr>
          <w:p w14:paraId="3BB1085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项目资金</w:t>
            </w:r>
          </w:p>
          <w:p w14:paraId="3EE817C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434" w:type="dxa"/>
            <w:gridSpan w:val="3"/>
            <w:vAlign w:val="center"/>
          </w:tcPr>
          <w:p w14:paraId="5E963BAD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4788" w:type="dxa"/>
            <w:gridSpan w:val="3"/>
            <w:vAlign w:val="center"/>
          </w:tcPr>
          <w:p w14:paraId="5BDC3AE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6E1D2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6" w:type="dxa"/>
            <w:gridSpan w:val="2"/>
            <w:vMerge w:val="continue"/>
            <w:vAlign w:val="center"/>
          </w:tcPr>
          <w:p w14:paraId="1EFACBF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vAlign w:val="center"/>
          </w:tcPr>
          <w:p w14:paraId="3870B5AD">
            <w:pPr>
              <w:widowControl/>
              <w:spacing w:line="360" w:lineRule="exact"/>
              <w:ind w:firstLine="360" w:firstLineChars="2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其中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当年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4788" w:type="dxa"/>
            <w:gridSpan w:val="3"/>
            <w:vAlign w:val="center"/>
          </w:tcPr>
          <w:p w14:paraId="3DC8484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0ECD7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6" w:type="dxa"/>
            <w:gridSpan w:val="2"/>
            <w:vMerge w:val="continue"/>
            <w:vAlign w:val="center"/>
          </w:tcPr>
          <w:p w14:paraId="4D48D4A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vAlign w:val="center"/>
          </w:tcPr>
          <w:p w14:paraId="6FA05568"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4788" w:type="dxa"/>
            <w:gridSpan w:val="3"/>
            <w:vAlign w:val="center"/>
          </w:tcPr>
          <w:p w14:paraId="389D2AF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1BF56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6" w:type="dxa"/>
            <w:gridSpan w:val="2"/>
            <w:vMerge w:val="continue"/>
            <w:vAlign w:val="center"/>
          </w:tcPr>
          <w:p w14:paraId="340AE1D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vAlign w:val="center"/>
          </w:tcPr>
          <w:p w14:paraId="6C91A287"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4788" w:type="dxa"/>
            <w:gridSpan w:val="3"/>
            <w:vAlign w:val="center"/>
          </w:tcPr>
          <w:p w14:paraId="22D3E5E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0FAB8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Align w:val="center"/>
          </w:tcPr>
          <w:p w14:paraId="04DBA138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</w:t>
            </w:r>
          </w:p>
          <w:p w14:paraId="5DBE68E8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体</w:t>
            </w:r>
          </w:p>
          <w:p w14:paraId="20B9AD0F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</w:t>
            </w:r>
          </w:p>
          <w:p w14:paraId="65FEAC82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770" w:type="dxa"/>
            <w:gridSpan w:val="7"/>
            <w:vAlign w:val="center"/>
          </w:tcPr>
          <w:p w14:paraId="20DB4FB1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</w:t>
            </w:r>
          </w:p>
          <w:p w14:paraId="6BA96A48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</w:t>
            </w:r>
          </w:p>
          <w:p w14:paraId="419C15D7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目标3：</w:t>
            </w:r>
          </w:p>
        </w:tc>
      </w:tr>
      <w:tr w14:paraId="673742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58" w:type="dxa"/>
            <w:vMerge w:val="restart"/>
            <w:vAlign w:val="center"/>
          </w:tcPr>
          <w:p w14:paraId="73A8044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56" w:type="dxa"/>
            <w:gridSpan w:val="2"/>
            <w:vAlign w:val="center"/>
          </w:tcPr>
          <w:p w14:paraId="6348CCF7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782" w:type="dxa"/>
            <w:vAlign w:val="center"/>
          </w:tcPr>
          <w:p w14:paraId="121702E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41" w:type="dxa"/>
            <w:gridSpan w:val="2"/>
            <w:vAlign w:val="center"/>
          </w:tcPr>
          <w:p w14:paraId="4235228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291" w:type="dxa"/>
            <w:gridSpan w:val="2"/>
            <w:vAlign w:val="center"/>
          </w:tcPr>
          <w:p w14:paraId="0B893BE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 w14:paraId="511760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5859689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 w14:paraId="2E250E5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782" w:type="dxa"/>
            <w:vAlign w:val="center"/>
          </w:tcPr>
          <w:p w14:paraId="0A43E05C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5DE201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50F59E9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2D7453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269D420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 w14:paraId="023BE61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14:paraId="2D4119A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AD5EEA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4F55A6A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43890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04DF758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 w14:paraId="11805117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14:paraId="55CA92A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1868F6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28BB683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236989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1BD3B03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 w14:paraId="289E1CF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2782" w:type="dxa"/>
            <w:vAlign w:val="center"/>
          </w:tcPr>
          <w:p w14:paraId="42D4EAB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1D9211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29FE8C7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916F8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09F1AE27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 w14:paraId="0CB9D06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14:paraId="65307F1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A5B61B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460D1C8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C9D0E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7256EA1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 w14:paraId="468A79D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14:paraId="273B139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11A507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77E9540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2C4B6E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5E21F27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 w14:paraId="4ADCDA2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2782" w:type="dxa"/>
            <w:vAlign w:val="center"/>
          </w:tcPr>
          <w:p w14:paraId="3A9F6EA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E90C04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1432A7AC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769DF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7D5F1E9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 w14:paraId="3BF88FC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14:paraId="6A05B5F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62C231A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32BCEB0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0F021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46D777B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 w14:paraId="2AD53DF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14:paraId="01C34FC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662320F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65426CE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843CB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31385B1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 w14:paraId="5A4DA66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2782" w:type="dxa"/>
            <w:vAlign w:val="center"/>
          </w:tcPr>
          <w:p w14:paraId="0D7C860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9C5AE1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3C4F947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6CAAC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725E8F4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 w14:paraId="2FB74AD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14:paraId="48DDB37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652DE97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3D0B822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B08E8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8" w:type="dxa"/>
            <w:vMerge w:val="continue"/>
            <w:vAlign w:val="center"/>
          </w:tcPr>
          <w:p w14:paraId="732ACCF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 w14:paraId="748D0CF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14:paraId="7562E21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B8C84D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3FA8C7D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 w14:paraId="59BB0B84">
      <w:pPr>
        <w:tabs>
          <w:tab w:val="left" w:pos="1848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F4372">
    <w:pPr>
      <w:pStyle w:val="5"/>
      <w:jc w:val="center"/>
    </w:pPr>
  </w:p>
  <w:p w14:paraId="74AB23E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6883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3E14454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32E52AF"/>
    <w:rsid w:val="03E7460F"/>
    <w:rsid w:val="0967775F"/>
    <w:rsid w:val="0AF81EC1"/>
    <w:rsid w:val="0DC2489C"/>
    <w:rsid w:val="10A15885"/>
    <w:rsid w:val="113741D2"/>
    <w:rsid w:val="156A222E"/>
    <w:rsid w:val="1D34261E"/>
    <w:rsid w:val="1E430E84"/>
    <w:rsid w:val="20D8182C"/>
    <w:rsid w:val="20E75C73"/>
    <w:rsid w:val="228B657C"/>
    <w:rsid w:val="234D4382"/>
    <w:rsid w:val="258E4780"/>
    <w:rsid w:val="263A2A33"/>
    <w:rsid w:val="27706F5D"/>
    <w:rsid w:val="2AF7636C"/>
    <w:rsid w:val="2BA87A51"/>
    <w:rsid w:val="2F9C2C75"/>
    <w:rsid w:val="2FB55528"/>
    <w:rsid w:val="31256864"/>
    <w:rsid w:val="33566EBE"/>
    <w:rsid w:val="351919E1"/>
    <w:rsid w:val="38051E62"/>
    <w:rsid w:val="396B387A"/>
    <w:rsid w:val="3F5405B7"/>
    <w:rsid w:val="45257EAC"/>
    <w:rsid w:val="47AE6909"/>
    <w:rsid w:val="47C37C9C"/>
    <w:rsid w:val="47D44ECD"/>
    <w:rsid w:val="501656FC"/>
    <w:rsid w:val="527E074E"/>
    <w:rsid w:val="54C368B0"/>
    <w:rsid w:val="55707216"/>
    <w:rsid w:val="565912B5"/>
    <w:rsid w:val="56B21462"/>
    <w:rsid w:val="57327C68"/>
    <w:rsid w:val="579503FF"/>
    <w:rsid w:val="5F5A0C06"/>
    <w:rsid w:val="60535296"/>
    <w:rsid w:val="629A2B7E"/>
    <w:rsid w:val="65662279"/>
    <w:rsid w:val="66AF4608"/>
    <w:rsid w:val="6C157DE9"/>
    <w:rsid w:val="72FD2525"/>
    <w:rsid w:val="76E72BF0"/>
    <w:rsid w:val="78C86DD2"/>
    <w:rsid w:val="7E8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28</Pages>
  <Words>42</Words>
  <Characters>45</Characters>
  <Lines>68</Lines>
  <Paragraphs>19</Paragraphs>
  <TotalTime>1</TotalTime>
  <ScaleCrop>false</ScaleCrop>
  <LinksUpToDate>false</LinksUpToDate>
  <CharactersWithSpaces>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刀剑上的舞者</cp:lastModifiedBy>
  <cp:lastPrinted>2022-02-15T07:45:00Z</cp:lastPrinted>
  <dcterms:modified xsi:type="dcterms:W3CDTF">2026-03-13T12:05:54Z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FE9F453E89874F4DA78AA60950FF6611_13</vt:lpwstr>
  </property>
  <property fmtid="{D5CDD505-2E9C-101B-9397-08002B2CF9AE}" pid="4" name="KSOTemplateDocerSaveRecord">
    <vt:lpwstr>eyJoZGlkIjoiMDBhNjlhMTEyNWM5ODNkM2I1YzU2ZTk5Yjc4NmM3ZmUiLCJ1c2VySWQiOiIyNDA3NDcyODIifQ==</vt:lpwstr>
  </property>
</Properties>
</file>